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1607"/>
        <w:gridCol w:w="1645"/>
        <w:gridCol w:w="1567"/>
        <w:gridCol w:w="1607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ART. 52 DEL REG. (UE) N. 1307/2013: SOSTEGNO ACCOPPIATO FACOLTATIVO - IMPORTI UNITARI CAMPAGNA 2015 - MISURE A SUPERFICIE</w:t>
            </w:r>
          </w:p>
        </w:tc>
      </w:tr>
      <w:tr>
        <w:trPr>
          <w:trHeight w:val="808" w:hRule="atLeast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Intervento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Ettari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Percentuale sul plafond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Plafond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Importo unitario per ettaro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Premio specifico alla soia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263.463,76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2,30%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9.872.159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55,17 per i primi 5 ettari**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Premio proteaginose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263.851,55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3,30%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14.164.402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53,68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Premio frumento duro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893.933,06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13,95%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59.876.788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66,98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Premio leguminose da granella e erbai annuali di sole leguminose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527.523,76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2,75%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11.803.668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22,38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Settore riso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227.833,36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5,30%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22.748.887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99,85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Settore barbabietola da zucchero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37.805,59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4,01%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17.211.894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455,27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Settore pomodoro da industria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68.441,36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2,63%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11.288.599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164,94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Settore olivicolo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475.317,98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10,30%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44.210.102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93,01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Superfici olivicole e caratterizzate da una pendenza media superiore al 7,5%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110.447,33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3,10%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13.305.953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120,47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Superfici olivicole che aderiscono a sistemi di qualità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62.819,74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3%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12.876.729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204,98</w:t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 per gli ettari oltre i 5 il premio viene ridotto al 10% dell'importo unitario quindi sarà pari ad € 5,517 per ettaro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jc w:val="left"/>
    </w:pPr>
    <w:rPr>
      <w:rFonts w:ascii="Calibri" w:hAnsi="Calibri" w:eastAsia="SimSun" w:cs="Mangal"/>
      <w:color w:val="000000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2016-06-16T15:30:00Z</dcterms:created>
  <dc:creator>Apache POI</dc:creator>
  <dc:language>it-IT</dc:language>
  <dcterms:modified xsi:type="dcterms:W3CDTF">2016-06-22T17:44:31Z</dcterms:modified>
  <cp:revision>2</cp:revision>
</cp:coreProperties>
</file>